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1008" w:lineRule="atLeast"/>
        <w:jc w:val="center"/>
        <w:rPr>
          <w:rFonts w:ascii="微软雅黑" w:hAnsi="微软雅黑" w:eastAsia="微软雅黑" w:cs="Times New Roman"/>
          <w:b/>
          <w:color w:val="4A86E8"/>
          <w:sz w:val="48"/>
        </w:rPr>
      </w:pPr>
      <w:bookmarkStart w:id="0" w:name="_GoBack"/>
      <w:bookmarkEnd w:id="0"/>
      <w:r>
        <w:rPr>
          <w:rFonts w:hint="eastAsia" w:ascii="微软雅黑" w:hAnsi="微软雅黑" w:eastAsia="微软雅黑" w:cs="Times New Roman"/>
          <w:b/>
          <w:color w:val="4A86E8"/>
          <w:sz w:val="48"/>
        </w:rPr>
        <w:t>iNFA智能飞秒激光器</w:t>
      </w:r>
    </w:p>
    <w:p>
      <w:pPr>
        <w:shd w:val="clear" w:color="auto" w:fill="FFFFFF"/>
        <w:spacing w:after="0" w:line="379" w:lineRule="atLeast"/>
        <w:rPr>
          <w:rFonts w:ascii="微软雅黑" w:hAnsi="微软雅黑" w:eastAsia="微软雅黑" w:cs="Arial"/>
          <w:color w:val="FF0000"/>
          <w:sz w:val="24"/>
        </w:rPr>
      </w:pPr>
      <w:r>
        <w:drawing>
          <wp:inline distT="0" distB="0" distL="0" distR="0">
            <wp:extent cx="5343525" cy="26670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a:stretch>
                      <a:fillRect/>
                    </a:stretch>
                  </pic:blipFill>
                  <pic:spPr>
                    <a:xfrm>
                      <a:off x="0" y="0"/>
                      <a:ext cx="5343525" cy="2667000"/>
                    </a:xfrm>
                    <a:prstGeom prst="rect">
                      <a:avLst/>
                    </a:prstGeom>
                  </pic:spPr>
                </pic:pic>
              </a:graphicData>
            </a:graphic>
          </wp:inline>
        </w:drawing>
      </w:r>
    </w:p>
    <w:p>
      <w:pPr>
        <w:shd w:val="clear" w:color="auto" w:fill="FFFFFF"/>
        <w:spacing w:after="0" w:line="379" w:lineRule="atLeast"/>
        <w:ind w:firstLine="567"/>
        <w:rPr>
          <w:rFonts w:ascii="微软雅黑" w:hAnsi="微软雅黑" w:eastAsia="微软雅黑" w:cs="Arial"/>
          <w:sz w:val="24"/>
        </w:rPr>
      </w:pPr>
    </w:p>
    <w:p>
      <w:pPr>
        <w:shd w:val="clear" w:color="auto" w:fill="FFFFFF"/>
        <w:spacing w:after="0" w:line="379" w:lineRule="atLeast"/>
        <w:ind w:firstLine="567"/>
        <w:rPr>
          <w:rFonts w:ascii="微软雅黑" w:hAnsi="微软雅黑" w:eastAsia="微软雅黑" w:cs="Arial"/>
          <w:b/>
          <w:sz w:val="24"/>
        </w:rPr>
      </w:pPr>
      <w:r>
        <w:rPr>
          <w:rFonts w:hint="eastAsia" w:ascii="微软雅黑" w:hAnsi="微软雅黑" w:eastAsia="微软雅黑" w:cs="Arial"/>
          <w:sz w:val="24"/>
        </w:rPr>
        <w:t>iNFA系列飞秒激光器是爱鸥光学自主研发制造的智能光纤飞秒激光器，该产品具有大功率、窄脉冲、超稳定的特点。iNFA智能飞秒激光器通过对飞秒脉冲的全域智能识别以及飞秒激光器参数的全局优化控制，将智能识别和智能控制算法嵌入高速FPGA平台，实现输出飞秒脉冲状态稳定和峰值功率可控。激光器采用双包层大模场增益光纤配合三级预放实现飞秒脉冲的非线性放大，光电一体化设计，集成水冷和风冷散热，轻松实现250 fs脉冲输出，单脉冲能量达20 μJ@1MHz。该产品可广泛应用于半导体晶圆加工、光波导芯片加工、光栅刻写，新能源材料加工、高分子材料加工与表面处理等领域。</w:t>
      </w:r>
      <w:r>
        <w:br w:type="textWrapping"/>
      </w:r>
    </w:p>
    <w:p>
      <w:pPr>
        <w:shd w:val="clear" w:color="auto" w:fill="FFFFFF"/>
        <w:spacing w:after="0" w:line="379" w:lineRule="atLeast"/>
        <w:ind w:left="542" w:leftChars="258"/>
        <w:rPr>
          <w:rFonts w:ascii="微软雅黑" w:hAnsi="微软雅黑" w:eastAsia="微软雅黑" w:cs="Arial"/>
          <w:b/>
          <w:sz w:val="24"/>
        </w:rPr>
      </w:pPr>
    </w:p>
    <w:p>
      <w:pPr>
        <w:sectPr>
          <w:headerReference r:id="rId3" w:type="default"/>
          <w:pgSz w:w="12240" w:h="15840"/>
          <w:pgMar w:top="1440" w:right="1750" w:bottom="1440" w:left="1800" w:header="720" w:footer="720" w:gutter="0"/>
          <w:cols w:space="720" w:num="1"/>
          <w:docGrid w:linePitch="360" w:charSpace="0"/>
        </w:sectPr>
      </w:pP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b/>
          <w:sz w:val="24"/>
        </w:rPr>
        <w:t>产品特点：</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智能脉冲识别和实时控制</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大功率、窄脉冲、超稳定</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大模场双包层非线性放大</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单脉冲能量20 μJ@1MHz</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脉宽小于250 fs</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光电一体化设计</w:t>
      </w:r>
    </w:p>
    <w:p>
      <w:pPr>
        <w:shd w:val="clear" w:color="auto" w:fill="FFFFFF"/>
        <w:spacing w:after="0" w:line="379" w:lineRule="atLeast"/>
        <w:ind w:left="542" w:leftChars="258"/>
        <w:rPr>
          <w:rFonts w:ascii="微软雅黑" w:hAnsi="微软雅黑" w:eastAsia="微软雅黑" w:cs="Arial"/>
          <w:sz w:val="24"/>
        </w:rPr>
      </w:pP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b/>
          <w:sz w:val="24"/>
        </w:rPr>
        <w:t>应用领域：</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半导体晶圆加工</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光学波导芯片加工</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光栅刻写</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新能源材料加工</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高分子材料加工与处理</w:t>
      </w:r>
    </w:p>
    <w:p>
      <w:pPr>
        <w:shd w:val="clear" w:color="auto" w:fill="FFFFFF"/>
        <w:spacing w:after="0" w:line="379" w:lineRule="atLeast"/>
        <w:ind w:left="542" w:leftChars="258"/>
        <w:rPr>
          <w:rFonts w:ascii="微软雅黑" w:hAnsi="微软雅黑" w:eastAsia="微软雅黑" w:cs="Arial"/>
          <w:sz w:val="24"/>
        </w:rPr>
      </w:pPr>
      <w:r>
        <w:rPr>
          <w:rFonts w:hint="eastAsia" w:ascii="微软雅黑" w:hAnsi="微软雅黑" w:eastAsia="微软雅黑" w:cs="Arial"/>
          <w:sz w:val="24"/>
        </w:rPr>
        <w:t>3C领域硬脆材料加工</w:t>
      </w:r>
    </w:p>
    <w:p>
      <w:pPr>
        <w:shd w:val="clear" w:color="auto" w:fill="FFFFFF"/>
        <w:spacing w:after="270" w:line="420" w:lineRule="atLeast"/>
        <w:rPr>
          <w:rFonts w:ascii="微软雅黑" w:hAnsi="微软雅黑" w:eastAsia="微软雅黑" w:cs="Arial"/>
          <w:sz w:val="24"/>
        </w:rPr>
      </w:pPr>
    </w:p>
    <w:p>
      <w:pPr>
        <w:sectPr>
          <w:type w:val="continuous"/>
          <w:pgSz w:w="12240" w:h="15840"/>
          <w:pgMar w:top="1440" w:right="1750" w:bottom="1440" w:left="1800" w:header="720" w:footer="720" w:gutter="0"/>
          <w:cols w:space="720" w:num="1"/>
          <w:docGrid w:linePitch="360" w:charSpace="0"/>
        </w:sectPr>
      </w:pPr>
    </w:p>
    <w:p>
      <w:pPr>
        <w:shd w:val="clear" w:color="auto" w:fill="FFFFFF"/>
        <w:spacing w:after="270" w:line="420" w:lineRule="atLeast"/>
        <w:rPr>
          <w:rFonts w:ascii="微软雅黑" w:hAnsi="微软雅黑" w:eastAsia="微软雅黑" w:cs="Arial"/>
          <w:color w:val="434343"/>
          <w:sz w:val="27"/>
        </w:rPr>
      </w:pPr>
      <w:r>
        <w:rPr>
          <w:rFonts w:hint="eastAsia" w:ascii="微软雅黑" w:hAnsi="微软雅黑" w:eastAsia="微软雅黑" w:cs="Arial"/>
          <w:b/>
          <w:color w:val="434343"/>
          <w:sz w:val="27"/>
        </w:rPr>
        <w:t>产品参数：</w:t>
      </w:r>
    </w:p>
    <w:tbl>
      <w:tblPr>
        <w:tblStyle w:val="5"/>
        <w:tblW w:w="8002" w:type="dxa"/>
        <w:tblInd w:w="0" w:type="dxa"/>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Layout w:type="autofit"/>
        <w:tblCellMar>
          <w:top w:w="75" w:type="dxa"/>
          <w:left w:w="75" w:type="dxa"/>
          <w:bottom w:w="75" w:type="dxa"/>
          <w:right w:w="75" w:type="dxa"/>
        </w:tblCellMar>
      </w:tblPr>
      <w:tblGrid>
        <w:gridCol w:w="4132"/>
        <w:gridCol w:w="3870"/>
      </w:tblGrid>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outset" w:color="C9DAF8" w:sz="6" w:space="0"/>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b/>
                <w:color w:val="5A5A5A"/>
                <w:sz w:val="21"/>
              </w:rPr>
              <w:t>SPECIFICATIONS</w:t>
            </w:r>
          </w:p>
        </w:tc>
        <w:tc>
          <w:tcPr>
            <w:tcW w:w="3870" w:type="dxa"/>
            <w:tcBorders>
              <w:top w:val="outset" w:color="C9DAF8" w:sz="6" w:space="0"/>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hint="eastAsia" w:cs="Arial" w:asciiTheme="minorEastAsia" w:hAnsiTheme="minorEastAsia"/>
                <w:b/>
                <w:color w:val="5A5A5A"/>
                <w:sz w:val="21"/>
              </w:rPr>
              <w:t>iNFA-1030-250-20</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outset" w:color="C9DAF8" w:sz="6" w:space="0"/>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hint="eastAsia" w:ascii="微软雅黑" w:hAnsi="微软雅黑" w:eastAsia="微软雅黑" w:cs="微软雅黑"/>
                <w:color w:val="5A5A5A"/>
                <w:sz w:val="21"/>
              </w:rPr>
              <w:t>中心</w:t>
            </w:r>
            <w:r>
              <w:rPr>
                <w:rFonts w:ascii="微软雅黑" w:hAnsi="微软雅黑" w:eastAsia="微软雅黑" w:cs="微软雅黑"/>
                <w:color w:val="5A5A5A"/>
                <w:sz w:val="21"/>
              </w:rPr>
              <w:t>波长（</w:t>
            </w:r>
            <w:r>
              <w:rPr>
                <w:rFonts w:ascii="Arial" w:hAnsi="Arial" w:eastAsia="Times New Roman" w:cs="Arial"/>
                <w:color w:val="5A5A5A"/>
                <w:sz w:val="21"/>
              </w:rPr>
              <w:t>Wavelength</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1030+/-5 nm</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平均功率（</w:t>
            </w:r>
            <w:r>
              <w:rPr>
                <w:rFonts w:ascii="Arial" w:hAnsi="Arial" w:eastAsia="Times New Roman" w:cs="Arial"/>
                <w:color w:val="5A5A5A"/>
                <w:sz w:val="21"/>
              </w:rPr>
              <w:t>Average Power</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hint="eastAsia" w:ascii="Arial" w:hAnsi="Arial" w:eastAsia="Times New Roman" w:cs="Arial"/>
                <w:color w:val="5A5A5A"/>
                <w:sz w:val="21"/>
              </w:rPr>
              <w:t>5~</w:t>
            </w:r>
            <w:r>
              <w:rPr>
                <w:rFonts w:ascii="Arial" w:hAnsi="Arial" w:eastAsia="Times New Roman" w:cs="Arial"/>
                <w:color w:val="5A5A5A"/>
                <w:sz w:val="21"/>
              </w:rPr>
              <w:t>20 W</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脉冲能量（</w:t>
            </w:r>
            <w:r>
              <w:rPr>
                <w:rFonts w:ascii="Arial" w:hAnsi="Arial" w:eastAsia="Times New Roman" w:cs="Arial"/>
                <w:color w:val="5A5A5A"/>
                <w:sz w:val="21"/>
              </w:rPr>
              <w:t>Pulse Energy</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20uJ</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脉冲宽度（</w:t>
            </w:r>
            <w:r>
              <w:rPr>
                <w:rFonts w:ascii="Arial" w:hAnsi="Arial" w:eastAsia="Times New Roman" w:cs="Arial"/>
                <w:color w:val="5A5A5A"/>
                <w:sz w:val="21"/>
              </w:rPr>
              <w:t>Pulse Duration</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&lt;250 fs</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微软雅黑" w:hAnsi="微软雅黑" w:eastAsia="微软雅黑" w:cs="微软雅黑"/>
                <w:color w:val="5A5A5A"/>
                <w:sz w:val="21"/>
              </w:rPr>
            </w:pPr>
            <w:r>
              <w:rPr>
                <w:rFonts w:hint="eastAsia" w:ascii="微软雅黑" w:hAnsi="微软雅黑" w:eastAsia="微软雅黑" w:cs="微软雅黑"/>
                <w:color w:val="5A5A5A"/>
                <w:sz w:val="21"/>
              </w:rPr>
              <w:t>峰值功率（Peak</w:t>
            </w:r>
            <w:r>
              <w:rPr>
                <w:rFonts w:ascii="微软雅黑" w:hAnsi="微软雅黑" w:eastAsia="微软雅黑" w:cs="微软雅黑"/>
                <w:color w:val="5A5A5A"/>
                <w:sz w:val="21"/>
              </w:rPr>
              <w:t xml:space="preserve"> </w:t>
            </w:r>
            <w:r>
              <w:rPr>
                <w:rFonts w:hint="eastAsia" w:ascii="微软雅黑" w:hAnsi="微软雅黑" w:eastAsia="微软雅黑" w:cs="微软雅黑"/>
                <w:color w:val="5A5A5A"/>
                <w:sz w:val="21"/>
              </w:rPr>
              <w:t>Power）</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cs="Arial"/>
                <w:color w:val="5A5A5A"/>
                <w:sz w:val="21"/>
              </w:rPr>
            </w:pPr>
            <w:r>
              <w:rPr>
                <w:rFonts w:hint="eastAsia" w:ascii="Arial" w:hAnsi="Arial" w:cs="Arial"/>
                <w:color w:val="5A5A5A"/>
                <w:sz w:val="21"/>
              </w:rPr>
              <w:t>&gt;</w:t>
            </w:r>
            <w:r>
              <w:rPr>
                <w:rFonts w:ascii="Arial" w:hAnsi="Arial" w:cs="Arial"/>
                <w:color w:val="5A5A5A"/>
                <w:sz w:val="21"/>
              </w:rPr>
              <w:t>100 MW</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重复频率（</w:t>
            </w:r>
            <w:r>
              <w:rPr>
                <w:rFonts w:ascii="Arial" w:hAnsi="Arial" w:eastAsia="Times New Roman" w:cs="Arial"/>
                <w:color w:val="5A5A5A"/>
                <w:sz w:val="21"/>
              </w:rPr>
              <w:t>Repetition Rate</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1Hz~ 1MHz</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光束质量（</w:t>
            </w:r>
            <w:r>
              <w:rPr>
                <w:rFonts w:ascii="Arial" w:hAnsi="Arial" w:eastAsia="Times New Roman" w:cs="Arial"/>
                <w:color w:val="5A5A5A"/>
                <w:sz w:val="21"/>
              </w:rPr>
              <w:t>Beam Quality</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M</w:t>
            </w:r>
            <w:r>
              <w:rPr>
                <w:rFonts w:ascii="Arial" w:hAnsi="Arial" w:eastAsia="Times New Roman" w:cs="Arial"/>
                <w:color w:val="5A5A5A"/>
                <w:sz w:val="21"/>
                <w:vertAlign w:val="superscript"/>
              </w:rPr>
              <w:t>2</w:t>
            </w:r>
            <w:r>
              <w:rPr>
                <w:rFonts w:ascii="Arial" w:hAnsi="Arial" w:eastAsia="Times New Roman" w:cs="Arial"/>
                <w:color w:val="5A5A5A"/>
                <w:sz w:val="21"/>
              </w:rPr>
              <w:t>≤1.3</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光斑发散角（</w:t>
            </w:r>
            <w:r>
              <w:rPr>
                <w:rFonts w:ascii="Arial" w:hAnsi="Arial" w:eastAsia="Times New Roman" w:cs="Arial"/>
                <w:color w:val="5A5A5A"/>
                <w:sz w:val="21"/>
              </w:rPr>
              <w:t>Beam Divergence</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&lt;3 mrad, 2θ</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光斑圆度（</w:t>
            </w:r>
            <w:r>
              <w:rPr>
                <w:rFonts w:ascii="Arial" w:hAnsi="Arial" w:eastAsia="Times New Roman" w:cs="Arial"/>
                <w:color w:val="5A5A5A"/>
                <w:sz w:val="21"/>
              </w:rPr>
              <w:t>Beam Circularity</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≥85%</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光束直径（</w:t>
            </w:r>
            <w:r>
              <w:rPr>
                <w:rFonts w:ascii="Arial" w:hAnsi="Arial" w:eastAsia="Times New Roman" w:cs="Arial"/>
                <w:color w:val="5A5A5A"/>
                <w:sz w:val="21"/>
              </w:rPr>
              <w:t>Beam Diameter</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4 ±1 mm, 1/e</w:t>
            </w:r>
            <w:r>
              <w:rPr>
                <w:rFonts w:ascii="Arial" w:hAnsi="Arial" w:eastAsia="Times New Roman" w:cs="Arial"/>
                <w:color w:val="5A5A5A"/>
                <w:sz w:val="21"/>
                <w:vertAlign w:val="superscript"/>
              </w:rPr>
              <w:t>2</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偏振比（</w:t>
            </w:r>
            <w:r>
              <w:rPr>
                <w:rFonts w:ascii="Arial" w:hAnsi="Arial" w:eastAsia="Times New Roman" w:cs="Arial"/>
                <w:color w:val="5A5A5A"/>
                <w:sz w:val="21"/>
              </w:rPr>
              <w:t>Polarization Ratio</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&gt;100:1</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偏振方向（</w:t>
            </w:r>
            <w:r>
              <w:rPr>
                <w:rFonts w:ascii="Arial" w:hAnsi="Arial" w:eastAsia="Times New Roman" w:cs="Arial"/>
                <w:color w:val="5A5A5A"/>
                <w:sz w:val="21"/>
              </w:rPr>
              <w:t>Polarization Direction</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Horizontal</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脉冲</w:t>
            </w:r>
            <w:r>
              <w:rPr>
                <w:rFonts w:hint="eastAsia" w:ascii="微软雅黑" w:hAnsi="微软雅黑" w:eastAsia="微软雅黑" w:cs="微软雅黑"/>
                <w:color w:val="5A5A5A"/>
                <w:sz w:val="21"/>
              </w:rPr>
              <w:t>宽度</w:t>
            </w:r>
            <w:r>
              <w:rPr>
                <w:rFonts w:ascii="微软雅黑" w:hAnsi="微软雅黑" w:eastAsia="微软雅黑" w:cs="微软雅黑"/>
                <w:color w:val="5A5A5A"/>
                <w:sz w:val="21"/>
              </w:rPr>
              <w:t>稳定性（</w:t>
            </w:r>
            <w:r>
              <w:rPr>
                <w:rFonts w:ascii="Arial" w:hAnsi="Arial" w:eastAsia="Times New Roman" w:cs="Arial"/>
                <w:color w:val="5A5A5A"/>
                <w:sz w:val="21"/>
              </w:rPr>
              <w:t>Pulse Stability</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21"/>
              </w:rPr>
            </w:pPr>
            <w:r>
              <w:rPr>
                <w:rFonts w:hint="eastAsia" w:ascii="Arial" w:hAnsi="Arial" w:eastAsia="Times New Roman" w:cs="Arial"/>
                <w:color w:val="5A5A5A"/>
                <w:sz w:val="21"/>
              </w:rPr>
              <w:t>+/-5</w:t>
            </w:r>
            <w:r>
              <w:rPr>
                <w:rFonts w:ascii="Arial" w:hAnsi="Arial" w:eastAsia="Times New Roman" w:cs="Arial"/>
                <w:color w:val="5A5A5A"/>
                <w:sz w:val="21"/>
              </w:rPr>
              <w:t>%</w:t>
            </w:r>
            <w:r>
              <w:rPr>
                <w:rFonts w:hint="eastAsia" w:ascii="宋体" w:hAnsi="宋体" w:eastAsia="宋体" w:cs="宋体"/>
                <w:color w:val="5A5A5A"/>
                <w:sz w:val="21"/>
              </w:rPr>
              <w:t>最小脉宽</w:t>
            </w:r>
            <w:r>
              <w:rPr>
                <w:rFonts w:hint="eastAsia" w:ascii="Arial" w:hAnsi="Arial" w:eastAsia="Times New Roman" w:cs="Arial"/>
                <w:color w:val="5A5A5A"/>
                <w:sz w:val="21"/>
              </w:rPr>
              <w:t xml:space="preserve"> @</w:t>
            </w:r>
            <w:r>
              <w:rPr>
                <w:rFonts w:ascii="Arial" w:hAnsi="Arial" w:eastAsia="Times New Roman" w:cs="Arial"/>
                <w:color w:val="5A5A5A"/>
                <w:sz w:val="21"/>
              </w:rPr>
              <w:t>72 hours</w:t>
            </w:r>
          </w:p>
        </w:tc>
      </w:tr>
      <w:tr>
        <w:tblPrEx>
          <w:tblBorders>
            <w:top w:val="outset" w:color="C9DAF8" w:sz="6" w:space="0"/>
            <w:left w:val="outset" w:color="C9DAF8" w:sz="6" w:space="0"/>
            <w:bottom w:val="outset" w:color="C9DAF8" w:sz="6" w:space="0"/>
            <w:right w:val="outset" w:color="C9DAF8" w:sz="6" w:space="0"/>
            <w:insideH w:val="single" w:color="000000" w:sz="6" w:space="0"/>
            <w:insideV w:val="single" w:color="000000" w:sz="6" w:space="0"/>
          </w:tblBorders>
          <w:tblCellMar>
            <w:top w:w="75" w:type="dxa"/>
            <w:left w:w="75" w:type="dxa"/>
            <w:bottom w:w="75" w:type="dxa"/>
            <w:right w:w="75" w:type="dxa"/>
          </w:tblCellMar>
        </w:tblPrEx>
        <w:trPr>
          <w:trHeight w:val="600" w:hRule="atLeast"/>
        </w:trPr>
        <w:tc>
          <w:tcPr>
            <w:tcW w:w="4132" w:type="dxa"/>
            <w:tcBorders>
              <w:top w:val="nil"/>
              <w:left w:val="outset" w:color="C9DAF8" w:sz="6" w:space="0"/>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微软雅黑" w:hAnsi="微软雅黑" w:eastAsia="微软雅黑" w:cs="微软雅黑"/>
                <w:color w:val="5A5A5A"/>
                <w:sz w:val="21"/>
              </w:rPr>
              <w:t>功率稳定性（</w:t>
            </w:r>
            <w:r>
              <w:rPr>
                <w:rFonts w:ascii="Arial" w:hAnsi="Arial" w:eastAsia="Times New Roman" w:cs="Arial"/>
                <w:color w:val="5A5A5A"/>
                <w:sz w:val="21"/>
              </w:rPr>
              <w:t>Power Stability</w:t>
            </w:r>
            <w:r>
              <w:rPr>
                <w:rFonts w:ascii="微软雅黑" w:hAnsi="微软雅黑" w:eastAsia="微软雅黑" w:cs="微软雅黑"/>
                <w:color w:val="5A5A5A"/>
                <w:sz w:val="21"/>
              </w:rPr>
              <w:t>）</w:t>
            </w:r>
          </w:p>
        </w:tc>
        <w:tc>
          <w:tcPr>
            <w:tcW w:w="3870" w:type="dxa"/>
            <w:tcBorders>
              <w:top w:val="nil"/>
              <w:left w:val="nil"/>
              <w:bottom w:val="outset" w:color="C9DAF8" w:sz="6" w:space="0"/>
              <w:right w:val="outset" w:color="C9DAF8" w:sz="6" w:space="0"/>
            </w:tcBorders>
            <w:vAlign w:val="center"/>
          </w:tcPr>
          <w:p>
            <w:pPr>
              <w:spacing w:after="0" w:afterAutospacing="1" w:line="314" w:lineRule="atLeast"/>
              <w:rPr>
                <w:rFonts w:ascii="Arial" w:hAnsi="Arial" w:eastAsia="Times New Roman" w:cs="Arial"/>
                <w:color w:val="5A5A5A"/>
                <w:sz w:val="18"/>
              </w:rPr>
            </w:pPr>
            <w:r>
              <w:rPr>
                <w:rFonts w:ascii="Arial" w:hAnsi="Arial" w:eastAsia="Times New Roman" w:cs="Arial"/>
                <w:color w:val="5A5A5A"/>
                <w:sz w:val="21"/>
              </w:rPr>
              <w:t>&lt;0.5% RMS @72 hours</w:t>
            </w:r>
          </w:p>
        </w:tc>
      </w:tr>
    </w:tbl>
    <w:p>
      <w:pPr>
        <w:shd w:val="clear" w:color="auto" w:fill="FFFFFF"/>
        <w:spacing w:after="0" w:line="379" w:lineRule="atLeast"/>
        <w:rPr>
          <w:rFonts w:ascii="微软雅黑" w:hAnsi="微软雅黑" w:eastAsia="微软雅黑" w:cs="Arial"/>
          <w:b/>
          <w:color w:val="434343"/>
          <w:sz w:val="27"/>
        </w:rPr>
      </w:pPr>
      <w:r>
        <w:br w:type="textWrapping"/>
      </w:r>
    </w:p>
    <w:p>
      <w:pPr>
        <w:shd w:val="clear" w:color="auto" w:fill="FFFFFF"/>
        <w:spacing w:after="0" w:line="379" w:lineRule="atLeast"/>
        <w:rPr>
          <w:rFonts w:ascii="微软雅黑" w:hAnsi="微软雅黑" w:eastAsia="微软雅黑" w:cs="Arial"/>
          <w:color w:val="434343"/>
          <w:sz w:val="27"/>
        </w:rPr>
      </w:pPr>
      <w:r>
        <w:rPr>
          <w:rFonts w:hint="eastAsia" w:ascii="微软雅黑" w:hAnsi="微软雅黑" w:eastAsia="微软雅黑" w:cs="Arial"/>
          <w:b/>
          <w:color w:val="434343"/>
          <w:sz w:val="27"/>
        </w:rPr>
        <w:t>结构尺寸图：</w:t>
      </w:r>
    </w:p>
    <w:p>
      <w:r>
        <w:drawing>
          <wp:inline distT="0" distB="0" distL="0" distR="0">
            <wp:extent cx="5517515" cy="3521075"/>
            <wp:effectExtent l="0" t="0" r="6382" b="3143"/>
            <wp:docPr id="3" name="iNFA_CID.bmp"/>
            <wp:cNvGraphicFramePr/>
            <a:graphic xmlns:a="http://schemas.openxmlformats.org/drawingml/2006/main">
              <a:graphicData uri="http://schemas.openxmlformats.org/drawingml/2006/picture">
                <pic:pic xmlns:pic="http://schemas.openxmlformats.org/drawingml/2006/picture">
                  <pic:nvPicPr>
                    <pic:cNvPr id="3" name="iNFA_CID.bmp"/>
                    <pic:cNvPicPr/>
                  </pic:nvPicPr>
                  <pic:blipFill>
                    <a:blip r:embed="rId6"/>
                    <a:stretch>
                      <a:fillRect/>
                    </a:stretch>
                  </pic:blipFill>
                  <pic:spPr>
                    <a:xfrm>
                      <a:off x="0" y="0"/>
                      <a:ext cx="5518118" cy="3521202"/>
                    </a:xfrm>
                    <a:prstGeom prst="rect">
                      <a:avLst/>
                    </a:prstGeom>
                  </pic:spPr>
                </pic:pic>
              </a:graphicData>
            </a:graphic>
          </wp:inline>
        </w:drawing>
      </w:r>
    </w:p>
    <w:p/>
    <w:sectPr>
      <w:type w:val="continuous"/>
      <w:pgSz w:w="12240" w:h="15840"/>
      <w:pgMar w:top="1440" w:right="175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inline distT="0" distB="0" distL="0" distR="0">
          <wp:extent cx="1496695" cy="405130"/>
          <wp:effectExtent l="0" t="0" r="7620" b="0"/>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1"/>
                  <a:stretch>
                    <a:fillRect/>
                  </a:stretch>
                </pic:blipFill>
                <pic:spPr>
                  <a:xfrm>
                    <a:off x="0" y="0"/>
                    <a:ext cx="1496854" cy="405670"/>
                  </a:xfrm>
                  <a:prstGeom prst="rect">
                    <a:avLst/>
                  </a:prstGeom>
                  <a:ln w="2381">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104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kern w:val="2"/>
      <w:sz w:val="21"/>
    </w:rPr>
  </w:style>
  <w:style w:type="character" w:default="1" w:styleId="6">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spacing w:line="240" w:lineRule="auto"/>
    </w:pPr>
    <w:rPr>
      <w:sz w:val="18"/>
    </w:rPr>
  </w:style>
  <w:style w:type="paragraph" w:styleId="3">
    <w:name w:val="header"/>
    <w:basedOn w:val="1"/>
    <w:uiPriority w:val="0"/>
    <w:pPr>
      <w:pBdr>
        <w:bottom w:val="single" w:color="000000" w:sz="6" w:space="1"/>
      </w:pBdr>
      <w:spacing w:line="240" w:lineRule="auto"/>
      <w:jc w:val="center"/>
    </w:pPr>
    <w:rPr>
      <w:sz w:val="18"/>
    </w:rPr>
  </w:style>
  <w:style w:type="table" w:styleId="5">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7">
    <w:name w:val="Strong"/>
    <w:basedOn w:val="6"/>
    <w:uiPriority w:val="0"/>
    <w:rPr>
      <w:b/>
    </w:rPr>
  </w:style>
  <w:style w:type="character" w:styleId="8">
    <w:name w:val="Hyperlink"/>
    <w:basedOn w:val="6"/>
    <w:uiPriority w:val="0"/>
    <w:rPr>
      <w:color w:val="0000FF"/>
      <w:u w:val="single"/>
    </w:rPr>
  </w:style>
  <w:style w:type="character" w:customStyle="1" w:styleId="9">
    <w:name w:val="页眉 字符"/>
    <w:basedOn w:val="6"/>
    <w:uiPriority w:val="0"/>
    <w:rPr>
      <w:sz w:val="18"/>
    </w:rPr>
  </w:style>
  <w:style w:type="character" w:customStyle="1" w:styleId="10">
    <w:name w:val="页脚 字符"/>
    <w:basedOn w:val="6"/>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532</Words>
  <Characters>837</Characters>
  <TotalTime>0</TotalTime>
  <ScaleCrop>false</ScaleCrop>
  <LinksUpToDate>false</LinksUpToDate>
  <CharactersWithSpaces>869</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黎筱</cp:lastModifiedBy>
  <dcterms:modified xsi:type="dcterms:W3CDTF">2023-01-05T03:47:51Z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40164663F0CD4486861B2B7A6979CA50</vt:lpwstr>
  </property>
</Properties>
</file>